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br/>
        <w:t>ПОЛОЖЕНИЕ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 комиссии по противодействию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Государственном бюджетном учреждении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«Центр государственной кадастровой оценки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 области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1. Общие положения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1.1.</w:t>
        <w:tab/>
        <w:t xml:space="preserve">Настоящее Положение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 комиссии по противодействию коррупции </w:t>
        <w:br/>
        <w:t xml:space="preserve">в Государственном бюджетном учреждении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 «Центр государственной кадастровой оценки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 области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» (далее – Положение) разработано в соответствии с Федеральным законом от 25 декабря 2008 года № 273-ФЗ «О противодействии коррупции», Указом Президента Российской Федерации от 01 апреля 2016 года № 147 «О национальном плане противодействия коррупции на 2016–2017 годы»,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Законом Воронежской области от 12.05.2009 № 43-ОЗ  «О профилактике коррупции в Воронежской области»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1.2. Данное Положение определяет порядок деятельности, задачи </w:t>
        <w:br/>
        <w:t xml:space="preserve">и компетенцию Комиссии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 противодействию коррупции в Государственном бюджетном учреждении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 «Центр государственной кадастровой оценки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 области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»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(далее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–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Комиссия).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1.3.</w:t>
        <w:tab/>
        <w:t xml:space="preserve">Для целей настоящего Положения применяются следующие понятия </w:t>
        <w:br/>
        <w:t>и определения: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1.3.1. коррупция: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а)</w:t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б)</w:t>
        <w:tab/>
        <w:t xml:space="preserve">совершение деяний, указанных в подпункте «а» настоящего пункта, </w:t>
        <w:br/>
        <w:t>от имени или в интересах юридического лица;</w:t>
      </w:r>
    </w:p>
    <w:p>
      <w:pPr>
        <w:pStyle w:val="Bodytext21"/>
        <w:shd w:val="clear" w:color="auto" w:fill="auto"/>
        <w:tabs>
          <w:tab w:val="clear" w:pos="708"/>
          <w:tab w:val="left" w:pos="1450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1.3.2. противодействие коррупции - деятельность комиссии </w:t>
        <w:br/>
        <w:t>по противодействию коррупции и физических лиц в пределах их полномочий: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а)</w:t>
        <w:tab/>
        <w:t xml:space="preserve">по предупреждению коррупции, в том числе по выявлению </w:t>
        <w:br/>
        <w:t>и последующему устранению причин коррупции (профилактика коррупции);</w:t>
      </w:r>
    </w:p>
    <w:p>
      <w:pPr>
        <w:pStyle w:val="Bodytext21"/>
        <w:shd w:val="clear" w:color="auto" w:fill="auto"/>
        <w:tabs>
          <w:tab w:val="clear" w:pos="708"/>
          <w:tab w:val="left" w:pos="125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б)</w:t>
        <w:tab/>
        <w:t xml:space="preserve">по выявлению, предупреждению, пресечению, раскрытию </w:t>
        <w:br/>
        <w:t>и расследованию коррупционных правонарушений (борьба с коррупцией);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в)</w:t>
        <w:tab/>
        <w:t>по минимизации и (или) ликвидации последствий коррупционных правонарушений;</w:t>
      </w:r>
    </w:p>
    <w:p>
      <w:pPr>
        <w:pStyle w:val="Bodytext21"/>
        <w:shd w:val="clear" w:color="auto" w:fill="auto"/>
        <w:tabs>
          <w:tab w:val="clear" w:pos="708"/>
          <w:tab w:val="left" w:pos="763" w:leader="none"/>
        </w:tabs>
        <w:spacing w:lineRule="auto" w:line="252"/>
        <w:ind w:firstLine="709"/>
        <w:jc w:val="both"/>
        <w:rPr/>
      </w:pPr>
      <w:r>
        <w:rPr>
          <w:color w:val="000000" w:themeColor="text1"/>
          <w:lang w:eastAsia="ru-RU" w:bidi="ru-RU"/>
        </w:rPr>
        <w:t>1.3.3. антикоррупционная политика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eastAsia="ru-RU" w:bidi="ru-RU"/>
        </w:rPr>
        <w:t xml:space="preserve">- деятельность </w:t>
      </w:r>
      <w:r>
        <w:rPr>
          <w:color w:val="000000" w:themeColor="text1"/>
        </w:rPr>
        <w:t xml:space="preserve">Государственного бюджетного учреждения </w:t>
      </w:r>
      <w:r>
        <w:rPr>
          <w:color w:val="000000" w:themeColor="text1"/>
        </w:rPr>
        <w:t xml:space="preserve">Воронежской </w:t>
      </w:r>
      <w:r>
        <w:rPr>
          <w:color w:val="000000" w:themeColor="text1"/>
        </w:rPr>
        <w:t xml:space="preserve">области «Центр государственной кадастровой оценки </w:t>
      </w:r>
      <w:r>
        <w:rPr>
          <w:color w:val="000000" w:themeColor="text1"/>
        </w:rPr>
        <w:t>Воронежской области</w:t>
      </w:r>
      <w:r>
        <w:rPr>
          <w:color w:val="000000" w:themeColor="text1"/>
        </w:rPr>
        <w:t>»</w:t>
      </w:r>
      <w:r>
        <w:rPr>
          <w:color w:val="000000" w:themeColor="text1"/>
          <w:lang w:eastAsia="ru-RU" w:bidi="ru-RU"/>
        </w:rPr>
        <w:t xml:space="preserve"> (далее – ГБУ </w:t>
      </w:r>
      <w:r>
        <w:rPr>
          <w:color w:val="000000" w:themeColor="text1"/>
          <w:lang w:eastAsia="ru-RU" w:bidi="ru-RU"/>
        </w:rPr>
        <w:t>В</w:t>
      </w:r>
      <w:r>
        <w:rPr>
          <w:color w:val="000000" w:themeColor="text1"/>
          <w:lang w:eastAsia="ru-RU" w:bidi="ru-RU"/>
        </w:rPr>
        <w:t xml:space="preserve">О «ЦГКО </w:t>
      </w:r>
      <w:r>
        <w:rPr>
          <w:color w:val="000000" w:themeColor="text1"/>
          <w:lang w:eastAsia="ru-RU" w:bidi="ru-RU"/>
        </w:rPr>
        <w:t>ВО</w:t>
      </w:r>
      <w:r>
        <w:rPr>
          <w:color w:val="000000" w:themeColor="text1"/>
          <w:lang w:eastAsia="ru-RU" w:bidi="ru-RU"/>
        </w:rPr>
        <w:t>»), направленная на создание эффективной системы противодействия коррупции;</w:t>
      </w:r>
    </w:p>
    <w:p>
      <w:pPr>
        <w:pStyle w:val="Bodytext21"/>
        <w:shd w:val="clear" w:color="auto" w:fill="auto"/>
        <w:tabs>
          <w:tab w:val="clear" w:pos="708"/>
          <w:tab w:val="left" w:pos="773" w:leader="none"/>
        </w:tabs>
        <w:spacing w:lineRule="auto" w:line="252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1.3.4. </w:t>
      </w:r>
      <w:r>
        <w:rPr>
          <w:color w:val="000000" w:themeColor="text1"/>
          <w:lang w:eastAsia="ru-RU" w:bidi="ru-RU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>
      <w:pPr>
        <w:pStyle w:val="Bodytext21"/>
        <w:shd w:val="clear" w:color="auto" w:fill="auto"/>
        <w:tabs>
          <w:tab w:val="clear" w:pos="708"/>
          <w:tab w:val="left" w:pos="1418" w:leader="none"/>
        </w:tabs>
        <w:spacing w:lineRule="auto" w:line="252"/>
        <w:ind w:firstLine="709"/>
        <w:jc w:val="both"/>
        <w:rPr/>
      </w:pPr>
      <w:r>
        <w:rPr>
          <w:color w:val="000000" w:themeColor="text1"/>
        </w:rPr>
        <w:t xml:space="preserve">1.3.5. </w:t>
      </w:r>
      <w:r>
        <w:rPr>
          <w:color w:val="000000" w:themeColor="text1"/>
          <w:lang w:eastAsia="ru-RU" w:bidi="ru-RU"/>
        </w:rPr>
        <w:t xml:space="preserve">предупреждение коррупции - деятельность ГБУ </w:t>
      </w:r>
      <w:r>
        <w:rPr>
          <w:color w:val="000000" w:themeColor="text1"/>
          <w:lang w:eastAsia="ru-RU" w:bidi="ru-RU"/>
        </w:rPr>
        <w:t>В</w:t>
      </w:r>
      <w:r>
        <w:rPr>
          <w:color w:val="000000" w:themeColor="text1"/>
          <w:lang w:eastAsia="ru-RU" w:bidi="ru-RU"/>
        </w:rPr>
        <w:t xml:space="preserve">О «ЦГКО </w:t>
      </w:r>
      <w:r>
        <w:rPr>
          <w:color w:val="000000" w:themeColor="text1"/>
          <w:lang w:eastAsia="ru-RU" w:bidi="ru-RU"/>
        </w:rPr>
        <w:t>ВО</w:t>
      </w:r>
      <w:r>
        <w:rPr>
          <w:color w:val="000000" w:themeColor="text1"/>
          <w:lang w:eastAsia="ru-RU" w:bidi="ru-RU"/>
        </w:rPr>
        <w:t xml:space="preserve">» </w:t>
        <w:br/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1.4.</w:t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Российской Федерации</w:t>
        <w:br/>
        <w:t>от 25 декабря 2008 года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273-ФЗ «О противодействии коррупции», другими действующими законодательными актами РФ, иными нормативно-правовыми документами в сфере борьбы с коррупцией, приказами директора ГБУ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                   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ГКО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 и настоящим Положением.</w:t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1.5.</w:t>
        <w:tab/>
        <w:t xml:space="preserve">Комиссия является постоянно действующим совещательным органом, образованным для определения приоритетных направлений в сфере борьбы </w:t>
        <w:br/>
        <w:t xml:space="preserve">с коррупцией и создания эффективной системы противодействия коррупции </w:t>
        <w:br/>
        <w:t xml:space="preserve">в ГБУ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 «ЦГКО».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2. Основные задачи и функции Комиссии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2.1.</w:t>
        <w:tab/>
        <w:t>Основными задачами и функциями Комиссии являются: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2.1.1.</w:t>
        <w:tab/>
        <w:t xml:space="preserve"> Выявление причин и условий, способствующих возникновению коррупции;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2.1.2.</w:t>
        <w:tab/>
        <w:t>Организация в пределах своих полномочий взаимодействия с органами государственной власти,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коррупции.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2.2.</w:t>
        <w:tab/>
        <w:t>Комиссия для выполнения возложенных на нее задач осуществляет: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2.2.1.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</w:t>
        <w:br/>
        <w:t>и информации, распространенной средствами массовой информации;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2.2.2. Подготовку предложений по совершенствованию правовых, экономических и организационных механизмов функционирования учреждения </w:t>
        <w:br/>
        <w:t xml:space="preserve">в целях устранения причин и условий, способствующих возникновению </w:t>
        <w:br/>
        <w:t>и распространению коррупции, в том числе разработку соответствующих локальных актов.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3. Права Комиссии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3.1. Комиссия имеет право: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3.1.1. Давать разъяснения сотрудникам учреждения по вопросам, относящимся к компетенции Комиссии;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3.1.2. Заслушивать на своих заседаниях лиц, чье участие выявлено </w:t>
        <w:br/>
        <w:t>или подозревается в коррупции;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3.1.3. Направлять в установленном порядке своих представителей </w:t>
        <w:br/>
        <w:t>для участия в совещаниях по вопросам противодействия коррупции;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3.1.4. Организовывать и проводить рабочие встречи с сотрудниками </w:t>
        <w:br/>
        <w:t>по вопросам противодействия коррупции;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3.1.5. Принимать в пределах своей компетенции решения, касающиеся организации по предупреждению коррупции, а также осуществлять контроль исполнения своих решений.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4. Состав и порядок деятельности Комиссии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4.1.</w:t>
        <w:tab/>
        <w:t xml:space="preserve">Состав Комиссии и порядок ее деятельности утверждаются директором ГБУ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О «ЦГКО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ВО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».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4.2. Члены Комиссии принимают участие в ее работе на общественных началах.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4.3.</w:t>
        <w:tab/>
        <w:t>Основной формой работы Комиссии являются заседания, которые проводятся по мере необходимости, но не реже одного раза в полугодие.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4.4.</w:t>
        <w:tab/>
        <w:t>Заседание Комиссии ведет председатель Комиссии или по его поручению заместитель председателя Комиссии.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4.5.</w:t>
        <w:tab/>
        <w:t>Заседание Комиссии считается правомочным, если на нем присутствует более половины его членов.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4.6.</w:t>
        <w:tab/>
        <w:t>Члены Комиссии участвуют в ее заседаниях без права замены.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4.7.</w:t>
        <w:tab/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4.9.</w:t>
        <w:tab/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4.10. На период временного отсутствия секретаря его обязанности возлагаются на одного из членов Комиссии.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4.11. Члены Комиссии и лица, участвующие в ее заседании, не вправе разглашать сведения, ставшие им известными в ходе работы Комиссии.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7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4c74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b111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1" w:customStyle="1">
    <w:name w:val="Body text (2)"/>
    <w:basedOn w:val="Normal"/>
    <w:link w:val="Bodytext2"/>
    <w:qFormat/>
    <w:rsid w:val="004c74f6"/>
    <w:pPr>
      <w:widowControl w:val="false"/>
      <w:shd w:val="clear" w:color="auto" w:fill="FFFFFF"/>
      <w:spacing w:lineRule="exact" w:line="322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11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LibreOffice/6.1.2.1$Windows_X86_64 LibreOffice_project/65905a128db06ba48db947242809d14d3f9a93fe</Application>
  <Pages>3</Pages>
  <Words>822</Words>
  <Characters>6080</Characters>
  <CharactersWithSpaces>6898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2017-12-25T07:20:00Z</dcterms:created>
  <dc:creator>Admin</dc:creator>
  <dc:description/>
  <dc:language>ru-RU</dc:language>
  <cp:lastModifiedBy/>
  <cp:lastPrinted>2017-12-25T08:37:00Z</cp:lastPrinted>
  <dcterms:modified xsi:type="dcterms:W3CDTF">2018-11-28T12:21:23Z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